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21</w:t>
      </w:r>
    </w:p>
    <w:p>
      <w:r>
        <w:t>Bundesgericht (BGE), 2006-02-15, DE</w:t>
      </w:r>
    </w:p>
    <w:p>
      <w:r>
        <w:rPr>
          <w:b/>
        </w:rPr>
        <w:t xml:space="preserve">Quelle: </w:t>
      </w:r>
      <w:r>
        <w:t>https://mcp.opencaselaw.ch/entscheid/bge_132 I 21</w:t>
      </w:r>
    </w:p>
    <w:p>
      <w:r>
        <w:t>FR: ATF 132 I 21</w:t>
      </w:r>
    </w:p>
    <w:p>
      <w:r>
        <w:t>IT: DTF 132 I 21</w:t>
      </w:r>
    </w:p>
    <w:p>
      <w:pPr>
        <w:pStyle w:val="Heading2"/>
      </w:pPr>
      <w:r>
        <w:t>Regeste</w:t>
      </w:r>
    </w:p>
    <w:p>
      <w:r>
        <w:t>Regeste Art. 10 Abs. 2 und Art. 31 Abs. 1 und 3 BV; persönliche Freiheit, Sicherheitshaft. Zulässige Anträge (E. 1). Kollusionsgefahr als besonderer Haftgrund nach Abschluss der Strafuntersuchung und erfolgter Anklage wegen Menschenhandels und Förderung der Prostitution (E. 2 und 3). Verhältnismässigkeit der strafprozessualen Haft (E. 4).</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BGE 124 I 327 E. 4a S. 332, je mit Hinweisen).</w:t>
      </w:r>
    </w:p>
    <w:p>
      <w:r>
        <w:rPr>
          <w:b/>
        </w:rPr>
        <w:t>E. 2</w:t>
      </w:r>
    </w:p>
    <w:p>
      <w:r>
        <w:t>Sicherheitshaft darf nach Zürcher Strafprozessrecht nur angeordnet bzw. verlängert werden, wenn der Angeklagte eines Verbrechens oder Vergehens dringend verdächtigt wird und ausserdem ein besonderer Haftgrund vorliegt (§ 58 Abs. 1 i.V.m. § 67 Abs. 2 Satz 1 StPO /ZH). Der besondere Haftgrund der Kollusionsgefahr ist gegeben, wenn "aufgrund bestimmter Anhaltspunkte ernsthaft befürchtet werden muss", der Angeklagte werde "Spuren oder Beweismittel beseitigen, Dritte zu falschen Aussagen zu verleiten suchen oder die Abklärung des Sachverhalts auf andere Weise gefährden" ( § 58 Abs. 1 Ziff. 2 StPO /ZH).</w:t>
      </w:r>
    </w:p>
    <w:p>
      <w:r>
        <w:rPr>
          <w:b/>
        </w:rPr>
        <w:t>E. 3</w:t>
      </w:r>
    </w:p>
    <w:p>
      <w:r>
        <w:t>Der Beschwerdeführer bestreitet den dringenden Tatverdacht eines Verbrechens oder Vergehens nicht. Er wendet sich jedoch gegen die Annahme von Kollusionsgefahr.</w:t>
      </w:r>
    </w:p>
    <w:p>
      <w:r>
        <w:rPr>
          <w:b/>
        </w:rPr>
        <w:t>E. 3.1</w:t>
      </w:r>
    </w:p>
    <w:p>
      <w:r>
        <w:t>Der Beschwerdeführer macht geltend, die Staatsanwaltschaft habe ihren früheren Haftverlängerungsantrag vom 23. Dezember 2005 auf "Kollusionsgefahr" mit einem "Mitangeschuldigten" gestützt. Der Haftrichter habe jenen Antrag am 24. Dezember 2005 "gutgeheissen, da die Untersuchung noch nicht ganz abgeschlossen" gewesen sei. Nach Ansicht des Beschwerdeführers habe es BGE 132 I 21 S. 23 "damals lediglich noch" gegolten, "eine Konfrontationseinvernahme" mit dem fraglichen Mitangeschuldigten durchzuführen. Diese sei unterdessen erfolgt und habe "keine wesentlichen Neuigkeiten ans Tageslicht" gebracht. Mittlerweile sei "die Untersuchung abgeschlossen und Anklage erhoben" worden. Damit sei die geltend gemachte Kollusionsgefahr "obsolet". Im angefochtenen Haftentscheid werde zu deren Begründung "lediglich auf die erste Verfügung und auf die zu erwartende Höhe der Strafe verwiesen". "Konkrete Indizien" für Verdunkelungsgefahr würden von den kantonalen Behörden nicht dargelegt. Zwar seien erst "9 von 74 möglichen Zeuginnen befragt" worden. Dies sei (nach Ansicht des Beschwerdeführers) jedoch "aus prozessökonomischen Gründen" geschehen, da "sich die Untersuchungsbehörde die Mühe nicht" habe machen wollen, "alle Zeuginnen zu befragen".</w:t>
      </w:r>
    </w:p>
    <w:p>
      <w:r>
        <w:rPr>
          <w:b/>
        </w:rPr>
        <w:t>E. 3.2</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123 I 31 E. 3c S. 35; BGE 117 Ia 257 E. 4b S. 261, je mit Hinweisen).</w:t>
      </w:r>
    </w:p>
    <w:p>
      <w:r>
        <w:rPr>
          <w:b/>
        </w:rPr>
        <w:t>E. 3.2.1</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BGE 132 I 21 S. 24 tragen (vgl. BGE 123 I 31 E. 3c S. 35; BGE 117 Ia 257 E. 4b S. 261, je mit Hinweisen; PETER ALBRECHT, Die Kollusionsgefahr als Haftgrund, BJM 1999 S. 1 ff., 3-14; ANDREAS DONATSCH, in: Donatsch/Schmid, Kommentar zur Strafprozessordnung des Kantons Zürich, Zürich 1996 ff., § 58 N. 40 f.; CHRISTOPH MEIER/GEORG RÜEGG, Der Haftrichter im Kanton Basel-Stadt, BJM 1994 S. 310 f.; NIKLAUS OBERHOLZER, Grundzüge des Strafprozessrechts, Bern 1994, S. 309).</w:t>
      </w:r>
    </w:p>
    <w:p>
      <w:r>
        <w:rPr>
          <w:b/>
        </w:rPr>
        <w:t>E. 3.2.2</w:t>
      </w:r>
    </w:p>
    <w:p>
      <w:r>
        <w:t>Nach Abschluss der Strafuntersuchung (und insbesondere nach Durchführung einer erstinstanzlichen Hauptverhandlung) bedarf der Haftgrund der Kollusionsgefahr einer besonders sorgfältigen Prüfung. Er dient primär der Sicherung einer ungestörten Strafuntersuchung. Zwar ist auch die richterliche Sachaufklärung vor unzulässigen Einflussnahmen zu bewahren. Dies gilt insbesondere im Hinblick auf die (in der Regel beschränkte) Unmittelbarkeit der Beweisaufnahme anlässlich der Hauptverhandlung (vgl. BGE 117 Ia 257 E. 4b S. 261; s. auch § § 280 und 285 StPO /ZH; dazu NIKLAUS SCHMID, Strafprozessrecht, 4. Aufl., Zürich 2004, Rz. 196-199; derselbe , in: Donatsch/Schmid, a.a.O., § 183 N. 4-14 i.V.m. § 285). Je weiter das Strafverfahren vorangeschritten ist und je präziser der Sachverhalt bereits abgeklärt werden konnte, desto höhere Anforderungen sind jedoch grundsätzlich an den Nachweis von Verdunkelungsgefahr zu stellen (vgl. ALBRECHT, a.a.O., S. 12; DONATSCH, ibidem; MEIER/RÜEGG, ibidem).</w:t>
      </w:r>
    </w:p>
    <w:p>
      <w:r>
        <w:rPr>
          <w:b/>
        </w:rPr>
        <w:t>E. 3.2.3</w:t>
      </w:r>
    </w:p>
    <w:p>
      <w:r>
        <w:t>Bei staatsrechtlichen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BGE 123 I 31 E. 3a S. 35, BGE 123 I 268 E. 2d S. 271, je mit Hinweisen). Das vom Beschwerdeführer angerufene Willkürverbot hat in diesem Zusammenhang keine über das oben Dargelegte hinausgehende selbstständige Bedeutung.</w:t>
      </w:r>
    </w:p>
    <w:p>
      <w:r>
        <w:rPr>
          <w:b/>
        </w:rPr>
        <w:t>E. 3.3</w:t>
      </w:r>
    </w:p>
    <w:p>
      <w:r>
        <w:t>Im angefochtenen Entscheid wird die Kollusionsgefahr wie folgt begründet: "Dass bezüglich der als Haftgrund angeführten Kollusionsgefahr der Vollständigkeit halber anzuführen ist, dass diese im Rahmen der dem BGE 132 I 21 S. 25 Angeschuldigten vorgeworfenen deliktischen Handlungen und angesichts der im Falle der künftigen Verurteilung des Angeschuldigten zu erwartenden massiven Sanktion weiterhin - wie dies seitens der zuständigen Staatsanwältin völlig zu Recht angeführt wurde - gegeben ist und in diesem Zusammenhang auf die entsprechend deutlich ausgefallenen Worte zum Fortbestehen der Kollusionsgefahr in der haftrichterlichen Verfügung vom 24. Dezember 2005 verwiesen werden kann; dass sich bezüglich des Fortbestehens des Haftgrundes der Kollusionsgefahr seit dem Ergehen der haftrichterlichen Verfügung vom 24. Dezember 2005 auch keinerlei Änderungen ergeben haben, welche am Fortbestehen des Haftgrundes der Kollusionsgefahr vorliegend etwas ändern könnten; dass im Übrigen auch die langatmigen Ausführungen des Verteidigers, wonach zum Beispiel eine Einflussnahme des Angeschuldigten auf die befragten Personen nachweisbar wäre und zudem auch einen heiklen Vorgang darstellen würde, dem Angeschuldigten (und nunmehr auch Angeklagten) vorliegendenfalls nicht zu helfen vermögen, da bei dieser Fall-Konstellation und angesichts der - soweit ersichtlich - nicht unbedeutenden Rolle des Angeschuldigten im ganzen Kontext der Haftgrund der Kollusionsgefahr in sehr konkreter Weise weiterhin besteht, zumal der Angeschuldigte - welcher sich seit längerer Zeit im 'Milieu' bewegt - auch versucht sein könnte, die Geschädigten unter Druck zu setzen und in Anbetracht der nun in Aussicht stehenden gerichtlichen Verhandlung auch zu beeinflussen versuchen, und dies auch angesichts des Umstandes, dass gemäss Geschädigtenverzeichnis zur Anklage vom 9. Februar 2006 auch von diversen (zum Teil anwaltlich vertretenen) Geschädigten mit bekanntem Aufenthaltsort in der Schweiz allfällige Schadenersatzansprüche im vorliegenden Verfahren offenbar noch nicht beziffert worden sind und somit auch in diesem Zusammenhang von einer entsprechend latent fortbestehenden Kollusionsgefahr ausgegangen werden muss."</w:t>
      </w:r>
    </w:p>
    <w:p>
      <w:r>
        <w:rPr>
          <w:b/>
        </w:rPr>
        <w:t>E. 3.4</w:t>
      </w:r>
    </w:p>
    <w:p>
      <w:r>
        <w:t>Wie die Staatsanwaltschaft in ihrer Vernehmlassung darlegt, wurden von 74 mutmasslichen Geschädigten neun förmlich als Zeuginnen befragt. Zwar macht der Beschwerdeführer geltend, dass "sich die Untersuchungsbehörde die Mühe nicht" habe machen wollen, "alle Zeuginnen zu befragen". Wie sich jedoch aus den Akten ergibt, sind zahlreiche mutmassliche Geschädigte nach ihrer polizeilichen Befragung wieder ins Ausland abgereist oder unbekannten Aufenthaltes. Ausserdem weist die Staatsanwaltschaft darauf hin, dass ein Mitangeklagter anlässlich einer Konfrontationseinvernahme mit dem Beschwerdeführer bestätigt habe, "dass die zur Diskussion stehenden Opfer alle in derselben Art und Weise in die Schweiz gekommen und in seinem Etablissement tätig gewesen" seien. Der Beschwerdeführer räumt ein, dass er vor seiner Inhaftierung "Beziehungen im Milieu" hatte. Zwar beteuert er, dass er diese im Falle einer Haftentlassung nicht "spielen lassen" würde, da dies "sofort auffallen" würde und er mit einer neuen Inhaftierung rechnen BGE 132 I 21 S. 26 müsste. Für die Begründung von Kollusionsgefahr reicht jedoch das konkrete Risiko von erheblichen Einflussnahmen auf Zeug(inn)en und andere Gewährspersonen. Gemäss Anklageschrift wird dem Beschwerdeführer vorgeworfen, dass er bei seinen Aktivitäten zur Förderung der Prostitution bzw. im Rahmen des Menschenhandels massiven Druck gegen verschiedene Geschädigte und deren Angehörige ausgeübt und dabei systematisch mit Mittätern und Komplizen zusammengespannt habe. Dem Beschwerdeführer selbst werden in diesem Zusammenhang mehrere Drohungen, Nötigungen, Tätlichkeiten und Erpressungsversuche zur Last gelegt: So habe er den Geschädigten "für den Fall der Nichteinhaltung der Öffnungszeiten der Bar" jeweils "Bussen bis zu CHF 500.- angedroht" und die Geschädigten eingeschüchtert, geschlagen und "an den Haaren gezerrt". "Verschiedene Opfer" seien "nach ihrem Weggang" aus dem Etablissement der Angeklagten "angehalten" worden, "wieder zurückzukehren". Eine Geschädigte, die am 11. November 2004 von einer Kollegin am Zürcher Flughafen abgeholt worden war und nicht ihr Zimmer im Lokal der Angeklagten bezog, habe der Beschwerdeführer an ihrem Aufenthaltsort aufgesucht. Er habe ihr "Vorwürfe" gemacht und sie in das fragliche Lokal "beordert". Dort sei ihr mitgeteilt worden, dass sie "innert drei Tagen CHF 1'000.-" für angebliche "Umtriebe" bzw. als "Entschädigung" zu bezahlen habe; widrigenfalls werde sie bei der Polizei angezeigt und ausgeschafft. Eine andere Geschädigte habe der Beschwerdeführer am 3. November 2004 telefonisch aufgefordert, "ihm CHF 2'500.- zu bezahlen, ansonsten er ins Geschäft ihres neuen Freundes kommen und einen Skandal machen würde". Auch ihr habe er angedroht, "sie bei der Polizei anzuzeigen und ihre Verhaftung zu bewirken". Später sei es am Aufenthaltsort dieser Geschädigten "erneut zu einem Streit" zwischen ihr und dem Beschwerdeführer gekommen; dabei habe er ihr "einen Schlüsselbund an den Kopf" geworfen, "wodurch sich die Geschädigte unbekannte Verletzungen" zugezogen habe. Anschliessend habe der Beschwerdeführer den von ihm verlangten Geldbetrag mehrmals persönlich und "auch durch Drittpersonen" von der Geschädigten eingefordert. Den Geschädigten sei jeweils "zu verstehen" gegeben worden, dass "sie vor der vollständigen Bezahlung von Ticket- und Mietkosten und vor Ablauf der dreimonatigen Tätigkeit" als Prostituierte das Lokal "nicht verlassen dürften, ansonsten sie mit Repressalien oder Nachteilen zu rechnen hätten", dass "die Angeklagten über gute BGE 132 I 21 S. 27 Beziehungen in Brasilien verfügen würden und auch im Zürcher Prostitutionsmilieu eine Machtposition" ausübten und dass sie "jederzeit die Polizei rufen" könnten, "welche die Frauen ausschaffen würde, was einen Verlust der Investition der Geschädigten sowie eine Einreisesperre nach sich ziehen würde". Gemäss Anklageschrift richtete sich das Verhalten des Beschwerdeführers gegen zahlreiche junge bis sehr junge, in wirtschaftlichen Notsituationen befindliche (und damit besonders beeinflussbare) Geschädigte, darunter auch Minderjährige. Der Beschwerdeführer habe die Notlagen der Geschädigten "genau gekannt" und "bewusst ausgenutzt". Auch Angehörige von minderjährigen Opfern seien von den Angeklagten bzw. ihren Komplizen unter Druck gesetzt worden.</w:t>
      </w:r>
    </w:p>
    <w:p>
      <w:r>
        <w:rPr>
          <w:b/>
        </w:rPr>
        <w:t>E. 3.5</w:t>
      </w:r>
    </w:p>
    <w:p>
      <w:r>
        <w:t>Bei dieser Aktenlage hält die Annahme der kantonalen Behörden, im Falle des Beschwerdeführers bestehe eine besonders ausgeprägte Neigung zu Kollusionshandlungen, vor der Verfassung stand. Der Haftgrund der Verdunkelungsgefahr ist damit (auch im fortgeschrittenen Verfahrensstadium) ausreichend erstellt. Ebenso erscheint es verfassungskonform, wenn die kantonalen Behörden erwägen, der Kollusionsgefahr lasse sich hier mit etwaigen Ersatzmassnahmen für Sicherheitshaft nicht ausreichend begegnen. Nach dem Gesagten kann offen bleiben, ob neben Verdunkelungsgefahr zusätzlich noch weitere besondere Haftgründe (Flucht- oder Fortsetzungsgefahr) erfüllt wären.</w:t>
      </w:r>
    </w:p>
    <w:p>
      <w:r>
        <w:rPr>
          <w:b/>
        </w:rPr>
        <w:t>E. 4</w:t>
      </w:r>
    </w:p>
    <w:p>
      <w:r>
        <w:t>Weiter beanstandet der Beschwerdeführer die Weiterdauer der strafprozessualen Haft als unverhältnismässig. Es liege "alsbald Überhaft" vor, indem der bisherige Freiheitsentzug "die mutmassliche Dauer der zu erwartenden Freiheitsstrafe" übersteige.</w:t>
      </w:r>
    </w:p>
    <w:p>
      <w:r>
        <w:rPr>
          <w:b/>
        </w:rPr>
        <w:t>E. 4.1</w:t>
      </w:r>
    </w:p>
    <w:p>
      <w:r>
        <w:t>Gemäss Art. 31 Abs. 3 BV und Art. 5 Ziff. 3 EMRK hat ei 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BGE 132 I 21 S. 28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128 I 149 E. 2.2 S. 151; BGE 126 I 172 E. 5a S. 176 f.; BGE 124 I 208 E. 6 S. 215; BGE 123 I 268 E. 3a S. 273, je mit Hinweisen).</w:t>
      </w:r>
    </w:p>
    <w:p>
      <w:r>
        <w:rPr>
          <w:b/>
        </w:rPr>
        <w:t>E. 4.2</w:t>
      </w:r>
    </w:p>
    <w:p>
      <w:r>
        <w:t>Der Beschwerdeführer befindet sich nach eigener Darlegung seit 2. Februar 2005 in strafprozessualer Haft. Er ist des Menschenhandels, der mehrfachen Förderung der Prostitution und weiterer Delikte angeklagt. Menschenhandel wird mit Zuchthaus (bis zu 20 Jahren) oder Gefängnis (nicht unter sechs Monaten) bedroht (Art. 196 Abs. 1 i.V.m. Art. 35 StGB ). Zudem droht eine Strafschärfung nach Art. 68 StGB . Aus den vorliegenden Akten ergeben sich keine Anhaltspunkte dafür, dass gegen den angeklagten Beschwerdeführer (im Falle einer strafrechtlichen Verurteilung) eine sehr milde Sanktion bzw. lediglich die gesetzliche Mindeststrafe zur Anwendung gelangen könnte. Solche Anhaltspunkte werden auch in der Beschwerdeschrift nicht dargelegt. Es handelt sich gemäss Anklageschrift vielmehr um einen schwerwiegenden Fall von Menschenhandel bzw. der mehrfachen Förderung der Prostitution. Im Falle einer strafrechtlichen Verurteilung droht dem Beschwerdeführer beim jetzigen Verfahrensstand eine mehrjährige Freiheitsstrafe. Damit ist die bisherige Haftdauer (von gut einem Jahr) noch nicht in grosse Nähe der freiheitsentziehenden Sanktion gerückt, die bei einer Verurteilung konkret zu erwarten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